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59" w:lineRule="auto"/>
      </w:pPr>
      <w:r>
        <w:rPr/>
        <w:t>Drug</w:t>
      </w:r>
      <w:r>
        <w:rPr>
          <w:spacing w:val="-37"/>
        </w:rPr>
        <w:t> </w:t>
      </w:r>
      <w:r>
        <w:rPr/>
        <w:t>Enforcement </w:t>
      </w:r>
      <w:r>
        <w:rPr>
          <w:spacing w:val="-2"/>
        </w:rPr>
        <w:t>Administration</w:t>
      </w:r>
    </w:p>
    <w:p>
      <w:pPr>
        <w:spacing w:before="1013"/>
        <w:ind w:left="0" w:right="358" w:firstLine="0"/>
        <w:jc w:val="center"/>
        <w:rPr>
          <w:sz w:val="72"/>
        </w:rPr>
      </w:pPr>
      <w:r>
        <w:rPr>
          <w:sz w:val="72"/>
        </w:rPr>
        <w:t>Instructions for </w:t>
      </w:r>
      <w:r>
        <w:rPr>
          <w:spacing w:val="-2"/>
          <w:sz w:val="72"/>
        </w:rPr>
        <w:t>Investigators</w:t>
      </w:r>
    </w:p>
    <w:p>
      <w:pPr>
        <w:pStyle w:val="BodyText"/>
        <w:rPr>
          <w:sz w:val="72"/>
        </w:rPr>
      </w:pPr>
    </w:p>
    <w:p>
      <w:pPr>
        <w:pStyle w:val="BodyText"/>
        <w:spacing w:before="280"/>
        <w:rPr>
          <w:sz w:val="72"/>
        </w:rPr>
      </w:pPr>
    </w:p>
    <w:p>
      <w:pPr>
        <w:spacing w:before="1"/>
        <w:ind w:left="1" w:right="358" w:firstLine="0"/>
        <w:jc w:val="center"/>
        <w:rPr>
          <w:sz w:val="56"/>
        </w:rPr>
      </w:pPr>
      <w:r>
        <w:rPr>
          <w:sz w:val="56"/>
        </w:rPr>
        <w:t>August </w:t>
      </w:r>
      <w:r>
        <w:rPr>
          <w:spacing w:val="-2"/>
          <w:sz w:val="56"/>
        </w:rPr>
        <w:t>20,2024</w:t>
      </w:r>
    </w:p>
    <w:p>
      <w:pPr>
        <w:spacing w:after="0"/>
        <w:jc w:val="center"/>
        <w:rPr>
          <w:sz w:val="56"/>
        </w:rPr>
        <w:sectPr>
          <w:type w:val="continuous"/>
          <w:pgSz w:w="12240" w:h="15840"/>
          <w:pgMar w:top="1820" w:bottom="280" w:left="1440" w:right="1080"/>
        </w:sectPr>
      </w:pPr>
    </w:p>
    <w:p>
      <w:pPr>
        <w:pStyle w:val="BodyText"/>
        <w:spacing w:line="322" w:lineRule="exact" w:before="80"/>
        <w:jc w:val="both"/>
      </w:pPr>
      <w:r>
        <w:rPr/>
        <w:t>Obtain</w:t>
      </w:r>
      <w:r>
        <w:rPr>
          <w:spacing w:val="-20"/>
        </w:rPr>
        <w:t> </w:t>
      </w:r>
      <w:r>
        <w:rPr/>
        <w:t>Drug</w:t>
      </w:r>
      <w:r>
        <w:rPr>
          <w:spacing w:val="-19"/>
        </w:rPr>
        <w:t> </w:t>
      </w:r>
      <w:r>
        <w:rPr/>
        <w:t>Enforcement</w:t>
      </w:r>
      <w:r>
        <w:rPr>
          <w:spacing w:val="-20"/>
        </w:rPr>
        <w:t> </w:t>
      </w:r>
      <w:r>
        <w:rPr/>
        <w:t>Administration</w:t>
      </w:r>
      <w:r>
        <w:rPr>
          <w:spacing w:val="-16"/>
        </w:rPr>
        <w:t> </w:t>
      </w:r>
      <w:r>
        <w:rPr/>
        <w:t>(DEA)</w:t>
      </w:r>
      <w:r>
        <w:rPr>
          <w:spacing w:val="-15"/>
        </w:rPr>
        <w:t> </w:t>
      </w:r>
      <w:r>
        <w:rPr>
          <w:spacing w:val="-2"/>
        </w:rPr>
        <w:t>License</w:t>
      </w:r>
    </w:p>
    <w:p>
      <w:pPr>
        <w:pStyle w:val="BodyText"/>
        <w:ind w:right="834"/>
        <w:jc w:val="both"/>
      </w:pPr>
      <w:r>
        <w:rPr/>
        <w:t>To</w:t>
      </w:r>
      <w:r>
        <w:rPr>
          <w:spacing w:val="-10"/>
        </w:rPr>
        <w:t> </w:t>
      </w:r>
      <w:r>
        <w:rPr/>
        <w:t>register</w:t>
      </w:r>
      <w:r>
        <w:rPr>
          <w:spacing w:val="-8"/>
        </w:rPr>
        <w:t> </w:t>
      </w:r>
      <w:r>
        <w:rPr/>
        <w:t>as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new</w:t>
      </w:r>
      <w:r>
        <w:rPr>
          <w:spacing w:val="-8"/>
        </w:rPr>
        <w:t> </w:t>
      </w:r>
      <w:r>
        <w:rPr/>
        <w:t>researcher,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DEA</w:t>
      </w:r>
      <w:r>
        <w:rPr>
          <w:spacing w:val="-20"/>
        </w:rPr>
        <w:t> </w:t>
      </w:r>
      <w:r>
        <w:rPr/>
        <w:t>Form</w:t>
      </w:r>
      <w:r>
        <w:rPr>
          <w:spacing w:val="-8"/>
        </w:rPr>
        <w:t> </w:t>
      </w:r>
      <w:r>
        <w:rPr/>
        <w:t>225</w:t>
      </w:r>
      <w:r>
        <w:rPr>
          <w:spacing w:val="-8"/>
        </w:rPr>
        <w:t> </w:t>
      </w:r>
      <w:r>
        <w:rPr/>
        <w:t>must</w:t>
      </w:r>
      <w:r>
        <w:rPr>
          <w:spacing w:val="-8"/>
        </w:rPr>
        <w:t> </w:t>
      </w:r>
      <w:r>
        <w:rPr/>
        <w:t>be</w:t>
      </w:r>
      <w:r>
        <w:rPr>
          <w:spacing w:val="-7"/>
        </w:rPr>
        <w:t> </w:t>
      </w:r>
      <w:r>
        <w:rPr/>
        <w:t>completed. If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conducts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than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location,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must</w:t>
      </w:r>
      <w:r>
        <w:rPr>
          <w:spacing w:val="-2"/>
        </w:rPr>
        <w:t> </w:t>
      </w:r>
      <w:r>
        <w:rPr/>
        <w:t>be separately registered with the DEA.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right="457"/>
      </w:pPr>
      <w:r>
        <w:rPr/>
        <w:t>The</w:t>
      </w:r>
      <w:r>
        <w:rPr>
          <w:spacing w:val="-3"/>
        </w:rPr>
        <w:t> </w:t>
      </w:r>
      <w:r>
        <w:rPr/>
        <w:t>DEA</w:t>
      </w:r>
      <w:r>
        <w:rPr>
          <w:spacing w:val="-18"/>
        </w:rPr>
        <w:t> </w:t>
      </w:r>
      <w:r>
        <w:rPr/>
        <w:t>Form</w:t>
      </w:r>
      <w:r>
        <w:rPr>
          <w:spacing w:val="-4"/>
        </w:rPr>
        <w:t> </w:t>
      </w:r>
      <w:r>
        <w:rPr/>
        <w:t>225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online.</w:t>
      </w:r>
      <w:r>
        <w:rPr>
          <w:spacing w:val="-20"/>
        </w:rPr>
        <w:t> </w:t>
      </w:r>
      <w:r>
        <w:rPr/>
        <w:t>A</w:t>
      </w:r>
      <w:r>
        <w:rPr>
          <w:spacing w:val="-17"/>
        </w:rPr>
        <w:t> </w:t>
      </w:r>
      <w:r>
        <w:rPr/>
        <w:t>paper</w:t>
      </w:r>
      <w:r>
        <w:rPr>
          <w:spacing w:val="-4"/>
        </w:rPr>
        <w:t> </w:t>
      </w:r>
      <w:r>
        <w:rPr/>
        <w:t>version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 DEA</w:t>
      </w:r>
      <w:r>
        <w:rPr>
          <w:spacing w:val="-2"/>
        </w:rPr>
        <w:t> </w:t>
      </w:r>
      <w:r>
        <w:rPr/>
        <w:t>Form 225 can be requested by writing to:</w:t>
      </w:r>
    </w:p>
    <w:p>
      <w:pPr>
        <w:pStyle w:val="BodyText"/>
        <w:ind w:right="4487"/>
      </w:pPr>
      <w:r>
        <w:rPr/>
        <w:t>Drug</w:t>
      </w:r>
      <w:r>
        <w:rPr>
          <w:spacing w:val="-20"/>
        </w:rPr>
        <w:t> </w:t>
      </w:r>
      <w:r>
        <w:rPr/>
        <w:t>Enforcement</w:t>
      </w:r>
      <w:r>
        <w:rPr>
          <w:spacing w:val="-19"/>
        </w:rPr>
        <w:t> </w:t>
      </w:r>
      <w:r>
        <w:rPr/>
        <w:t>Administration Diversion Control Division</w:t>
      </w:r>
    </w:p>
    <w:p>
      <w:pPr>
        <w:pStyle w:val="BodyText"/>
        <w:spacing w:line="321" w:lineRule="exact"/>
      </w:pPr>
      <w:r>
        <w:rPr/>
        <w:t>Attn:</w:t>
      </w:r>
      <w:r>
        <w:rPr>
          <w:spacing w:val="-11"/>
        </w:rPr>
        <w:t> </w:t>
      </w:r>
      <w:r>
        <w:rPr/>
        <w:t>Registration</w:t>
      </w:r>
      <w:r>
        <w:rPr>
          <w:spacing w:val="-12"/>
        </w:rPr>
        <w:t> </w:t>
      </w:r>
      <w:r>
        <w:rPr/>
        <w:t>&amp;</w:t>
      </w:r>
      <w:r>
        <w:rPr>
          <w:spacing w:val="-11"/>
        </w:rPr>
        <w:t> </w:t>
      </w:r>
      <w:r>
        <w:rPr/>
        <w:t>Program</w:t>
      </w:r>
      <w:r>
        <w:rPr>
          <w:spacing w:val="-12"/>
        </w:rPr>
        <w:t> </w:t>
      </w:r>
      <w:r>
        <w:rPr/>
        <w:t>Support</w:t>
      </w:r>
      <w:r>
        <w:rPr>
          <w:spacing w:val="-12"/>
        </w:rPr>
        <w:t> </w:t>
      </w:r>
      <w:r>
        <w:rPr>
          <w:spacing w:val="-2"/>
        </w:rPr>
        <w:t>Section/DRR</w:t>
      </w:r>
    </w:p>
    <w:p>
      <w:pPr>
        <w:pStyle w:val="BodyText"/>
        <w:spacing w:line="322" w:lineRule="exact" w:before="1"/>
      </w:pPr>
      <w:r>
        <w:rPr>
          <w:spacing w:val="-2"/>
        </w:rPr>
        <w:t>P.O.</w:t>
      </w:r>
      <w:r>
        <w:rPr>
          <w:spacing w:val="-18"/>
        </w:rPr>
        <w:t> </w:t>
      </w:r>
      <w:r>
        <w:rPr>
          <w:spacing w:val="-2"/>
        </w:rPr>
        <w:t>Box</w:t>
      </w:r>
      <w:r>
        <w:rPr>
          <w:spacing w:val="-17"/>
        </w:rPr>
        <w:t> </w:t>
      </w:r>
      <w:r>
        <w:rPr>
          <w:spacing w:val="-4"/>
        </w:rPr>
        <w:t>2639</w:t>
      </w:r>
    </w:p>
    <w:p>
      <w:pPr>
        <w:pStyle w:val="BodyText"/>
      </w:pPr>
      <w:r>
        <w:rPr>
          <w:spacing w:val="-2"/>
        </w:rPr>
        <w:t>Springfield,</w:t>
      </w:r>
      <w:r>
        <w:rPr>
          <w:spacing w:val="-13"/>
        </w:rPr>
        <w:t> </w:t>
      </w:r>
      <w:r>
        <w:rPr>
          <w:spacing w:val="-2"/>
        </w:rPr>
        <w:t>VA</w:t>
      </w:r>
      <w:r>
        <w:rPr>
          <w:spacing w:val="-17"/>
        </w:rPr>
        <w:t> </w:t>
      </w:r>
      <w:r>
        <w:rPr>
          <w:spacing w:val="-2"/>
        </w:rPr>
        <w:t>22152-</w:t>
      </w:r>
      <w:r>
        <w:rPr>
          <w:spacing w:val="-4"/>
        </w:rPr>
        <w:t>2639</w:t>
      </w:r>
    </w:p>
    <w:p>
      <w:pPr>
        <w:pStyle w:val="BodyText"/>
      </w:pPr>
    </w:p>
    <w:p>
      <w:pPr>
        <w:pStyle w:val="BodyText"/>
        <w:ind w:right="389"/>
      </w:pPr>
      <w:r>
        <w:rPr/>
        <w:t>With your BNE license in hand, go to: </w:t>
      </w:r>
      <w:hyperlink r:id="rId5">
        <w:r>
          <w:rPr>
            <w:color w:val="467885"/>
            <w:spacing w:val="-2"/>
            <w:u w:val="single" w:color="467885"/>
          </w:rPr>
          <w:t>https://apps.deadiversion.usdoj.gov/webforms2/spring/main?execution=e1s</w:t>
        </w:r>
      </w:hyperlink>
      <w:r>
        <w:rPr>
          <w:color w:val="467885"/>
          <w:spacing w:val="-2"/>
          <w:u w:val="none"/>
        </w:rPr>
        <w:t> </w:t>
      </w:r>
      <w:hyperlink r:id="rId5">
        <w:r>
          <w:rPr>
            <w:color w:val="467885"/>
            <w:spacing w:val="-10"/>
            <w:u w:val="single" w:color="467885"/>
          </w:rPr>
          <w:t>3</w:t>
        </w:r>
      </w:hyperlink>
    </w:p>
    <w:p>
      <w:pPr>
        <w:pStyle w:val="BodyText"/>
        <w:spacing w:before="321"/>
      </w:pPr>
      <w:r>
        <w:rPr/>
        <w:t>Fill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/>
        <w:t>EXACT</w:t>
      </w:r>
      <w:r>
        <w:rPr>
          <w:spacing w:val="-10"/>
        </w:rPr>
        <w:t> </w:t>
      </w:r>
      <w:r>
        <w:rPr/>
        <w:t>SAME</w:t>
      </w:r>
      <w:r>
        <w:rPr>
          <w:spacing w:val="-7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shown</w:t>
      </w:r>
      <w:r>
        <w:rPr>
          <w:spacing w:val="-6"/>
        </w:rPr>
        <w:t> </w:t>
      </w:r>
      <w:r>
        <w:rPr/>
        <w:t>on your BNE license (name, address, etc.)</w:t>
      </w:r>
    </w:p>
    <w:p>
      <w:pPr>
        <w:pStyle w:val="BodyText"/>
        <w:spacing w:before="1"/>
      </w:pPr>
    </w:p>
    <w:p>
      <w:pPr>
        <w:pStyle w:val="BodyText"/>
        <w:ind w:right="389"/>
      </w:pPr>
      <w:r>
        <w:rPr/>
        <w:t>NOTE:</w:t>
      </w:r>
      <w:r>
        <w:rPr>
          <w:spacing w:val="-5"/>
        </w:rPr>
        <w:t> </w:t>
      </w:r>
      <w:r>
        <w:rPr/>
        <w:t>Schedule</w:t>
      </w:r>
      <w:r>
        <w:rPr>
          <w:spacing w:val="-5"/>
        </w:rPr>
        <w:t> </w:t>
      </w:r>
      <w:r>
        <w:rPr/>
        <w:t>II-V</w:t>
      </w:r>
      <w:r>
        <w:rPr>
          <w:spacing w:val="-5"/>
        </w:rPr>
        <w:t> </w:t>
      </w:r>
      <w:r>
        <w:rPr/>
        <w:t>researchers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submit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research protocol with the application. Only schedule I applicants must submit a </w:t>
      </w:r>
      <w:r>
        <w:rPr>
          <w:spacing w:val="-2"/>
        </w:rPr>
        <w:t>protocol.</w:t>
      </w:r>
    </w:p>
    <w:p>
      <w:pPr>
        <w:pStyle w:val="BodyText"/>
        <w:spacing w:before="322"/>
        <w:ind w:right="389"/>
      </w:pP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next</w:t>
      </w:r>
      <w:r>
        <w:rPr>
          <w:spacing w:val="-7"/>
        </w:rPr>
        <w:t> </w:t>
      </w:r>
      <w:r>
        <w:rPr/>
        <w:t>page,</w:t>
      </w:r>
      <w:r>
        <w:rPr>
          <w:spacing w:val="-7"/>
        </w:rPr>
        <w:t> </w:t>
      </w:r>
      <w:r>
        <w:rPr/>
        <w:t>check</w:t>
      </w:r>
      <w:r>
        <w:rPr>
          <w:spacing w:val="-7"/>
        </w:rPr>
        <w:t> </w:t>
      </w:r>
      <w:r>
        <w:rPr/>
        <w:t>off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box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says</w:t>
      </w:r>
      <w:r>
        <w:rPr>
          <w:spacing w:val="-7"/>
        </w:rPr>
        <w:t> </w:t>
      </w:r>
      <w:r>
        <w:rPr/>
        <w:t>CERTIFICATION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FEE EXEMPTION - Government Only, then provide the following details:</w:t>
      </w:r>
    </w:p>
    <w:p>
      <w:pPr>
        <w:pStyle w:val="BodyText"/>
        <w:spacing w:before="91" w:after="1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6"/>
        <w:gridCol w:w="4676"/>
      </w:tblGrid>
      <w:tr>
        <w:trPr>
          <w:trHeight w:val="322" w:hRule="atLeast"/>
        </w:trPr>
        <w:tc>
          <w:tcPr>
            <w:tcW w:w="9352" w:type="dxa"/>
            <w:gridSpan w:val="2"/>
          </w:tcPr>
          <w:p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Certification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Fee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Exemption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Government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Only</w:t>
            </w:r>
          </w:p>
        </w:tc>
      </w:tr>
      <w:tr>
        <w:trPr>
          <w:trHeight w:val="643" w:hRule="atLeast"/>
        </w:trPr>
        <w:tc>
          <w:tcPr>
            <w:tcW w:w="9352" w:type="dxa"/>
            <w:gridSpan w:val="2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Provide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Name,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Title,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Phone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Number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Certifying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Official (Applicants must not certify themselves)</w:t>
            </w:r>
          </w:p>
        </w:tc>
      </w:tr>
      <w:tr>
        <w:trPr>
          <w:trHeight w:val="965" w:hRule="atLeast"/>
        </w:trPr>
        <w:tc>
          <w:tcPr>
            <w:tcW w:w="4676" w:type="dxa"/>
          </w:tcPr>
          <w:p>
            <w:pPr>
              <w:pStyle w:val="TableParagraph"/>
              <w:spacing w:line="240" w:lineRule="auto"/>
              <w:ind w:right="50"/>
              <w:rPr>
                <w:sz w:val="28"/>
              </w:rPr>
            </w:pPr>
            <w:r>
              <w:rPr>
                <w:sz w:val="28"/>
              </w:rPr>
              <w:t>Name of Fee Exempt Institution </w:t>
            </w:r>
            <w:r>
              <w:rPr>
                <w:color w:val="C00000"/>
                <w:sz w:val="28"/>
              </w:rPr>
              <w:t>Must</w:t>
            </w:r>
            <w:r>
              <w:rPr>
                <w:color w:val="C00000"/>
                <w:spacing w:val="-7"/>
                <w:sz w:val="28"/>
              </w:rPr>
              <w:t> </w:t>
            </w:r>
            <w:r>
              <w:rPr>
                <w:color w:val="C00000"/>
                <w:sz w:val="28"/>
              </w:rPr>
              <w:t>be</w:t>
            </w:r>
            <w:r>
              <w:rPr>
                <w:color w:val="C00000"/>
                <w:spacing w:val="-7"/>
                <w:sz w:val="28"/>
              </w:rPr>
              <w:t> </w:t>
            </w:r>
            <w:r>
              <w:rPr>
                <w:color w:val="C00000"/>
                <w:sz w:val="28"/>
              </w:rPr>
              <w:t>a</w:t>
            </w:r>
            <w:r>
              <w:rPr>
                <w:color w:val="C00000"/>
                <w:spacing w:val="-7"/>
                <w:sz w:val="28"/>
              </w:rPr>
              <w:t> </w:t>
            </w:r>
            <w:r>
              <w:rPr>
                <w:color w:val="C00000"/>
                <w:sz w:val="28"/>
              </w:rPr>
              <w:t>Federal,</w:t>
            </w:r>
            <w:r>
              <w:rPr>
                <w:color w:val="C00000"/>
                <w:spacing w:val="-7"/>
                <w:sz w:val="28"/>
              </w:rPr>
              <w:t> </w:t>
            </w:r>
            <w:r>
              <w:rPr>
                <w:color w:val="C00000"/>
                <w:sz w:val="28"/>
              </w:rPr>
              <w:t>State,</w:t>
            </w:r>
            <w:r>
              <w:rPr>
                <w:color w:val="C00000"/>
                <w:spacing w:val="-7"/>
                <w:sz w:val="28"/>
              </w:rPr>
              <w:t> </w:t>
            </w:r>
            <w:r>
              <w:rPr>
                <w:color w:val="C00000"/>
                <w:sz w:val="28"/>
              </w:rPr>
              <w:t>or</w:t>
            </w:r>
            <w:r>
              <w:rPr>
                <w:color w:val="C00000"/>
                <w:spacing w:val="-7"/>
                <w:sz w:val="28"/>
              </w:rPr>
              <w:t> </w:t>
            </w:r>
            <w:r>
              <w:rPr>
                <w:color w:val="C00000"/>
                <w:sz w:val="28"/>
              </w:rPr>
              <w:t>County</w:t>
            </w:r>
          </w:p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C00000"/>
                <w:spacing w:val="-2"/>
                <w:sz w:val="28"/>
              </w:rPr>
              <w:t>Agency</w:t>
            </w:r>
          </w:p>
        </w:tc>
        <w:tc>
          <w:tcPr>
            <w:tcW w:w="4676" w:type="dxa"/>
          </w:tcPr>
          <w:p>
            <w:pPr>
              <w:pStyle w:val="TableParagraph"/>
              <w:spacing w:line="240" w:lineRule="auto" w:before="321"/>
              <w:rPr>
                <w:sz w:val="28"/>
              </w:rPr>
            </w:pPr>
            <w:r>
              <w:rPr>
                <w:sz w:val="28"/>
              </w:rPr>
              <w:t>Stony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Brook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University</w:t>
            </w:r>
          </w:p>
        </w:tc>
      </w:tr>
      <w:tr>
        <w:trPr>
          <w:trHeight w:val="322" w:hRule="atLeast"/>
        </w:trPr>
        <w:tc>
          <w:tcPr>
            <w:tcW w:w="467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Certifying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Official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Name*</w:t>
            </w:r>
          </w:p>
        </w:tc>
        <w:tc>
          <w:tcPr>
            <w:tcW w:w="467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Rebecca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Dahl,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5"/>
                <w:sz w:val="28"/>
              </w:rPr>
              <w:t>PhD</w:t>
            </w:r>
          </w:p>
        </w:tc>
      </w:tr>
      <w:tr>
        <w:trPr>
          <w:trHeight w:val="321" w:hRule="atLeast"/>
        </w:trPr>
        <w:tc>
          <w:tcPr>
            <w:tcW w:w="467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Certifying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Official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2"/>
                <w:sz w:val="28"/>
              </w:rPr>
              <w:t>Title*</w:t>
            </w:r>
          </w:p>
        </w:tc>
        <w:tc>
          <w:tcPr>
            <w:tcW w:w="467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Asst.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Research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Compliance</w:t>
            </w:r>
          </w:p>
        </w:tc>
      </w:tr>
      <w:tr>
        <w:trPr>
          <w:trHeight w:val="322" w:hRule="atLeast"/>
        </w:trPr>
        <w:tc>
          <w:tcPr>
            <w:tcW w:w="467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Certifying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Official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Email*</w:t>
            </w:r>
          </w:p>
        </w:tc>
        <w:tc>
          <w:tcPr>
            <w:tcW w:w="4676" w:type="dxa"/>
          </w:tcPr>
          <w:p>
            <w:pPr>
              <w:pStyle w:val="TableParagraph"/>
              <w:rPr>
                <w:sz w:val="28"/>
              </w:rPr>
            </w:pPr>
            <w:hyperlink r:id="rId6">
              <w:r>
                <w:rPr>
                  <w:spacing w:val="-2"/>
                  <w:sz w:val="28"/>
                </w:rPr>
                <w:t>Rebecca.dahl@stonybrook.edu</w:t>
              </w:r>
            </w:hyperlink>
          </w:p>
        </w:tc>
      </w:tr>
      <w:tr>
        <w:trPr>
          <w:trHeight w:val="322" w:hRule="atLeast"/>
        </w:trPr>
        <w:tc>
          <w:tcPr>
            <w:tcW w:w="467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Certifying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Official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Phone*</w:t>
            </w:r>
          </w:p>
        </w:tc>
        <w:tc>
          <w:tcPr>
            <w:tcW w:w="467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631-632-</w:t>
            </w:r>
            <w:r>
              <w:rPr>
                <w:spacing w:val="-4"/>
                <w:sz w:val="28"/>
              </w:rPr>
              <w:t>6541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2240" w:h="15840"/>
          <w:pgMar w:top="1360" w:bottom="280" w:left="1440" w:right="1080"/>
        </w:sectPr>
      </w:pPr>
    </w:p>
    <w:p>
      <w:pPr>
        <w:spacing w:line="240" w:lineRule="auto"/>
        <w:ind w:left="-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38520" cy="1234440"/>
                <wp:effectExtent l="9525" t="0" r="0" b="3809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938520" cy="12344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103" w:right="114"/>
                            </w:pPr>
                            <w:r>
                              <w:rPr/>
                              <w:t>By checking the following box, the applicant states that they certifying official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listed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above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has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consented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named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application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the purpose of certifying the applicant’s Fee Exempt status</w:t>
                            </w:r>
                          </w:p>
                          <w:p>
                            <w:pPr>
                              <w:pStyle w:val="BodyText"/>
                              <w:ind w:left="103" w:right="114"/>
                            </w:pPr>
                            <w:r>
                              <w:rPr/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Fee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Exempt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Registration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restricted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government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work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only.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It may not be used at non-government facilities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103"/>
                            </w:pPr>
                            <w:r>
                              <w:rPr>
                                <w:rFonts w:ascii="Wingdings" w:hAnsi="Wingdings"/>
                                <w:color w:val="C00000"/>
                              </w:rPr>
                              <w:t></w:t>
                            </w:r>
                            <w:r>
                              <w:rPr>
                                <w:rFonts w:ascii="Times New Roman" w:hAnsi="Times New Roman"/>
                                <w:color w:val="C00000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C00000"/>
                              </w:rPr>
                              <w:t>I</w:t>
                            </w:r>
                            <w:r>
                              <w:rPr>
                                <w:color w:val="C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C00000"/>
                              </w:rPr>
                              <w:t>have</w:t>
                            </w:r>
                            <w:r>
                              <w:rPr>
                                <w:color w:val="C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C00000"/>
                              </w:rPr>
                              <w:t>read</w:t>
                            </w:r>
                            <w:r>
                              <w:rPr>
                                <w:color w:val="C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C00000"/>
                              </w:rPr>
                              <w:t>the</w:t>
                            </w:r>
                            <w:r>
                              <w:rPr>
                                <w:color w:val="C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C00000"/>
                              </w:rPr>
                              <w:t>above</w:t>
                            </w:r>
                            <w:r>
                              <w:rPr>
                                <w:color w:val="C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C00000"/>
                              </w:rPr>
                              <w:t>and</w:t>
                            </w:r>
                            <w:r>
                              <w:rPr>
                                <w:color w:val="C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C00000"/>
                                <w:spacing w:val="-2"/>
                              </w:rPr>
                              <w:t>agree*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67.6pt;height:97.2pt;mso-position-horizontal-relative:char;mso-position-vertical-relative:line" type="#_x0000_t202" id="docshape1" filled="false" stroked="true" strokeweight=".47998pt" strokecolor="#000000">
                <w10:anchorlock/>
                <v:textbox inset="0,0,0,0">
                  <w:txbxContent>
                    <w:p>
                      <w:pPr>
                        <w:pStyle w:val="BodyText"/>
                        <w:ind w:left="103" w:right="114"/>
                      </w:pPr>
                      <w:r>
                        <w:rPr/>
                        <w:t>By checking the following box, the applicant states that they certifying official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listed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above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has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consented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named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this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application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the purpose of certifying the applicant’s Fee Exempt status</w:t>
                      </w:r>
                    </w:p>
                    <w:p>
                      <w:pPr>
                        <w:pStyle w:val="BodyText"/>
                        <w:ind w:left="103" w:right="114"/>
                      </w:pPr>
                      <w:r>
                        <w:rPr/>
                        <w:t>The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Fee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Exempt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Registration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is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restricted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government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work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only.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It may not be used at non-government facilities</w:t>
                      </w:r>
                    </w:p>
                    <w:p>
                      <w:pPr>
                        <w:pStyle w:val="BodyText"/>
                        <w:spacing w:before="1"/>
                        <w:ind w:left="103"/>
                      </w:pPr>
                      <w:r>
                        <w:rPr>
                          <w:rFonts w:ascii="Wingdings" w:hAnsi="Wingdings"/>
                          <w:color w:val="C00000"/>
                        </w:rPr>
                        <w:t></w:t>
                      </w:r>
                      <w:r>
                        <w:rPr>
                          <w:rFonts w:ascii="Times New Roman" w:hAnsi="Times New Roman"/>
                          <w:color w:val="C00000"/>
                          <w:spacing w:val="2"/>
                        </w:rPr>
                        <w:t> </w:t>
                      </w:r>
                      <w:r>
                        <w:rPr>
                          <w:color w:val="C00000"/>
                        </w:rPr>
                        <w:t>I</w:t>
                      </w:r>
                      <w:r>
                        <w:rPr>
                          <w:color w:val="C00000"/>
                          <w:spacing w:val="-7"/>
                        </w:rPr>
                        <w:t> </w:t>
                      </w:r>
                      <w:r>
                        <w:rPr>
                          <w:color w:val="C00000"/>
                        </w:rPr>
                        <w:t>have</w:t>
                      </w:r>
                      <w:r>
                        <w:rPr>
                          <w:color w:val="C00000"/>
                          <w:spacing w:val="-6"/>
                        </w:rPr>
                        <w:t> </w:t>
                      </w:r>
                      <w:r>
                        <w:rPr>
                          <w:color w:val="C00000"/>
                        </w:rPr>
                        <w:t>read</w:t>
                      </w:r>
                      <w:r>
                        <w:rPr>
                          <w:color w:val="C00000"/>
                          <w:spacing w:val="-7"/>
                        </w:rPr>
                        <w:t> </w:t>
                      </w:r>
                      <w:r>
                        <w:rPr>
                          <w:color w:val="C00000"/>
                        </w:rPr>
                        <w:t>the</w:t>
                      </w:r>
                      <w:r>
                        <w:rPr>
                          <w:color w:val="C00000"/>
                          <w:spacing w:val="-6"/>
                        </w:rPr>
                        <w:t> </w:t>
                      </w:r>
                      <w:r>
                        <w:rPr>
                          <w:color w:val="C00000"/>
                        </w:rPr>
                        <w:t>above</w:t>
                      </w:r>
                      <w:r>
                        <w:rPr>
                          <w:color w:val="C00000"/>
                          <w:spacing w:val="-7"/>
                        </w:rPr>
                        <w:t> </w:t>
                      </w:r>
                      <w:r>
                        <w:rPr>
                          <w:color w:val="C00000"/>
                        </w:rPr>
                        <w:t>and</w:t>
                      </w:r>
                      <w:r>
                        <w:rPr>
                          <w:color w:val="C00000"/>
                          <w:spacing w:val="-6"/>
                        </w:rPr>
                        <w:t> </w:t>
                      </w:r>
                      <w:r>
                        <w:rPr>
                          <w:color w:val="C00000"/>
                          <w:spacing w:val="-2"/>
                        </w:rPr>
                        <w:t>agree*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84"/>
      </w:pPr>
      <w:r>
        <w:rPr/>
        <w:t>Select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drug</w:t>
      </w:r>
      <w:r>
        <w:rPr>
          <w:spacing w:val="-4"/>
        </w:rPr>
        <w:t> </w:t>
      </w:r>
      <w:r>
        <w:rPr/>
        <w:t>schedules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plan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(both</w:t>
      </w:r>
      <w:r>
        <w:rPr>
          <w:spacing w:val="-3"/>
        </w:rPr>
        <w:t> </w:t>
      </w:r>
      <w:r>
        <w:rPr/>
        <w:t>narcotic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non-narcotic). Only select Schedule II if you have a safe!</w:t>
      </w:r>
    </w:p>
    <w:p>
      <w:pPr>
        <w:pStyle w:val="BodyText"/>
      </w:pPr>
    </w:p>
    <w:p>
      <w:pPr>
        <w:pStyle w:val="BodyText"/>
        <w:ind w:right="457"/>
      </w:pPr>
      <w:r>
        <w:rPr/>
        <w:t>Fill in your State License information (BNE License), follow the prompts (Schedule</w:t>
      </w:r>
      <w:r>
        <w:rPr>
          <w:spacing w:val="-2"/>
        </w:rPr>
        <w:t> </w:t>
      </w:r>
      <w:r>
        <w:rPr/>
        <w:t>II</w:t>
      </w:r>
      <w:r>
        <w:rPr>
          <w:spacing w:val="-3"/>
        </w:rPr>
        <w:t> </w:t>
      </w:r>
      <w:r>
        <w:rPr/>
        <w:t>users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need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select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drugs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use),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then </w:t>
      </w:r>
      <w:r>
        <w:rPr>
          <w:spacing w:val="-2"/>
        </w:rPr>
        <w:t>submit.</w:t>
      </w:r>
    </w:p>
    <w:p>
      <w:pPr>
        <w:pStyle w:val="BodyText"/>
        <w:spacing w:before="322"/>
        <w:ind w:right="416"/>
      </w:pPr>
      <w:r>
        <w:rPr/>
        <w:t>Once your DEA application is reviewed, the DEA</w:t>
      </w:r>
      <w:r>
        <w:rPr>
          <w:spacing w:val="-8"/>
        </w:rPr>
        <w:t> </w:t>
      </w:r>
      <w:r>
        <w:rPr/>
        <w:t>will contact you to set up an </w:t>
      </w:r>
      <w:r>
        <w:rPr>
          <w:b/>
        </w:rPr>
        <w:t>in-person inspection </w:t>
      </w:r>
      <w:r>
        <w:rPr/>
        <w:t>of your lock box/safe (This is separate from the BNE inspection). Keep the Certificate of Registration (DEA</w:t>
      </w:r>
      <w:r>
        <w:rPr>
          <w:spacing w:val="-5"/>
        </w:rPr>
        <w:t> </w:t>
      </w:r>
      <w:r>
        <w:rPr/>
        <w:t>Form 223) at the registered location in a readily retrievable manner and available for official</w:t>
      </w:r>
      <w:r>
        <w:rPr>
          <w:spacing w:val="-4"/>
        </w:rPr>
        <w:t> </w:t>
      </w:r>
      <w:r>
        <w:rPr/>
        <w:t>inspection.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need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duplicate</w:t>
      </w:r>
      <w:r>
        <w:rPr>
          <w:spacing w:val="-4"/>
        </w:rPr>
        <w:t> </w:t>
      </w:r>
      <w:r>
        <w:rPr/>
        <w:t>Certificate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Registration,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copy can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requested</w:t>
      </w:r>
      <w:r>
        <w:rPr>
          <w:spacing w:val="-5"/>
        </w:rPr>
        <w:t> </w:t>
      </w:r>
      <w:r>
        <w:rPr/>
        <w:t>online,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by contacting</w:t>
      </w:r>
      <w:r>
        <w:rPr>
          <w:spacing w:val="-4"/>
        </w:rPr>
        <w:t> </w:t>
      </w:r>
      <w:r>
        <w:rPr/>
        <w:t>DEA</w:t>
      </w:r>
      <w:r>
        <w:rPr>
          <w:spacing w:val="-17"/>
        </w:rPr>
        <w:t> </w:t>
      </w:r>
      <w:r>
        <w:rPr/>
        <w:t>Headquarters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1-800-882-9539, or via e-mail at </w:t>
      </w:r>
      <w:hyperlink r:id="rId7">
        <w:r>
          <w:rPr/>
          <w:t>DEA.Registration.Help@dea.gov</w:t>
        </w:r>
      </w:hyperlink>
    </w:p>
    <w:p>
      <w:pPr>
        <w:pStyle w:val="BodyText"/>
        <w:spacing w:before="321"/>
        <w:ind w:right="389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Schedule</w:t>
      </w:r>
      <w:r>
        <w:rPr>
          <w:spacing w:val="-3"/>
        </w:rPr>
        <w:t> </w:t>
      </w:r>
      <w:r>
        <w:rPr/>
        <w:t>II</w:t>
      </w:r>
      <w:r>
        <w:rPr>
          <w:spacing w:val="-4"/>
        </w:rPr>
        <w:t> </w:t>
      </w:r>
      <w:r>
        <w:rPr/>
        <w:t>drugs,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also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DEA</w:t>
      </w:r>
      <w:r>
        <w:rPr>
          <w:spacing w:val="-18"/>
        </w:rPr>
        <w:t> </w:t>
      </w:r>
      <w:r>
        <w:rPr/>
        <w:t>222</w:t>
      </w:r>
      <w:r>
        <w:rPr>
          <w:spacing w:val="-4"/>
        </w:rPr>
        <w:t> </w:t>
      </w:r>
      <w:r>
        <w:rPr/>
        <w:t>forms</w:t>
      </w:r>
      <w:r>
        <w:rPr>
          <w:spacing w:val="-4"/>
        </w:rPr>
        <w:t> </w:t>
      </w:r>
      <w:r>
        <w:rPr/>
        <w:t>for purchasing them.</w:t>
      </w:r>
    </w:p>
    <w:p>
      <w:pPr>
        <w:pStyle w:val="BodyText"/>
      </w:pPr>
    </w:p>
    <w:p>
      <w:pPr>
        <w:pStyle w:val="BodyText"/>
        <w:spacing w:before="1"/>
      </w:pPr>
      <w:r>
        <w:rPr/>
        <w:t>You</w:t>
      </w:r>
      <w:r>
        <w:rPr>
          <w:spacing w:val="-17"/>
        </w:rPr>
        <w:t> </w:t>
      </w:r>
      <w:r>
        <w:rPr/>
        <w:t>must</w:t>
      </w:r>
      <w:r>
        <w:rPr>
          <w:spacing w:val="-12"/>
        </w:rPr>
        <w:t> </w:t>
      </w:r>
      <w:r>
        <w:rPr/>
        <w:t>renew</w:t>
      </w:r>
      <w:r>
        <w:rPr>
          <w:spacing w:val="-11"/>
        </w:rPr>
        <w:t> </w:t>
      </w:r>
      <w:r>
        <w:rPr/>
        <w:t>your</w:t>
      </w:r>
      <w:r>
        <w:rPr>
          <w:spacing w:val="-11"/>
        </w:rPr>
        <w:t> </w:t>
      </w:r>
      <w:r>
        <w:rPr/>
        <w:t>DEA</w:t>
      </w:r>
      <w:r>
        <w:rPr>
          <w:spacing w:val="-20"/>
        </w:rPr>
        <w:t> </w:t>
      </w:r>
      <w:r>
        <w:rPr/>
        <w:t>license</w:t>
      </w:r>
      <w:r>
        <w:rPr>
          <w:spacing w:val="-10"/>
        </w:rPr>
        <w:t> </w:t>
      </w:r>
      <w:r>
        <w:rPr/>
        <w:t>every</w:t>
      </w:r>
      <w:r>
        <w:rPr>
          <w:spacing w:val="-11"/>
        </w:rPr>
        <w:t> </w:t>
      </w:r>
      <w:r>
        <w:rPr>
          <w:spacing w:val="-2"/>
        </w:rPr>
        <w:t>year.</w:t>
      </w:r>
    </w:p>
    <w:sectPr>
      <w:pgSz w:w="12240" w:h="15840"/>
      <w:pgMar w:top="144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71"/>
      <w:ind w:left="2" w:right="358"/>
      <w:jc w:val="center"/>
    </w:pPr>
    <w:rPr>
      <w:rFonts w:ascii="Arial" w:hAnsi="Arial" w:eastAsia="Arial" w:cs="Arial"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302" w:lineRule="exact"/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apps.deadiversion.usdoj.gov/webforms2/spring/main?execution=e1s3" TargetMode="External"/><Relationship Id="rId6" Type="http://schemas.openxmlformats.org/officeDocument/2006/relationships/hyperlink" Target="mailto:Rebecca.dahl@stonybrook.edu" TargetMode="External"/><Relationship Id="rId7" Type="http://schemas.openxmlformats.org/officeDocument/2006/relationships/hyperlink" Target="mailto:DEA.Registration.Help@dea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Dahl</dc:creator>
  <dcterms:created xsi:type="dcterms:W3CDTF">2026-03-13T13:36:57Z</dcterms:created>
  <dcterms:modified xsi:type="dcterms:W3CDTF">2026-03-13T13:36:57Z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for Microsoft 365</vt:lpwstr>
  </property>
</Properties>
</file>