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Policy</w:t>
      </w:r>
      <w:r>
        <w:rPr>
          <w:spacing w:val="-7"/>
        </w:rPr>
        <w:t> </w:t>
      </w:r>
      <w:r>
        <w:rPr/>
        <w:t>on</w:t>
      </w:r>
      <w:r>
        <w:rPr>
          <w:spacing w:val="1"/>
        </w:rPr>
        <w:t> </w:t>
      </w:r>
      <w:r>
        <w:rPr/>
        <w:t>Office</w:t>
      </w:r>
      <w:r>
        <w:rPr>
          <w:spacing w:val="1"/>
        </w:rPr>
        <w:t> </w:t>
      </w:r>
      <w:r>
        <w:rPr>
          <w:spacing w:val="-2"/>
        </w:rPr>
        <w:t>Supplies</w:t>
      </w:r>
    </w:p>
    <w:p>
      <w:pPr>
        <w:pStyle w:val="BodyText"/>
        <w:spacing w:before="74"/>
        <w:rPr>
          <w:b/>
          <w:sz w:val="24"/>
        </w:rPr>
      </w:pPr>
    </w:p>
    <w:p>
      <w:pPr>
        <w:pStyle w:val="BodyText"/>
        <w:spacing w:line="290" w:lineRule="auto"/>
        <w:ind w:left="360"/>
      </w:pPr>
      <w:r>
        <w:rPr/>
        <w:t>Items such as folders, paper, ink cartridges, pens, etc. which are used exclusively for project purposes, will be treated</w:t>
      </w:r>
      <w:r>
        <w:rPr>
          <w:spacing w:val="-1"/>
        </w:rPr>
        <w:t> </w:t>
      </w:r>
      <w:r>
        <w:rPr/>
        <w:t>as research supplies and will be permitted as direct charges on the project that</w:t>
      </w:r>
      <w:r>
        <w:rPr>
          <w:spacing w:val="-4"/>
        </w:rPr>
        <w:t> </w:t>
      </w:r>
      <w:r>
        <w:rPr/>
        <w:t>consumes</w:t>
      </w:r>
      <w:r>
        <w:rPr>
          <w:spacing w:val="-3"/>
        </w:rPr>
        <w:t> </w:t>
      </w:r>
      <w:r>
        <w:rPr/>
        <w:t>them.</w:t>
      </w:r>
      <w:r>
        <w:rPr>
          <w:spacing w:val="-4"/>
        </w:rPr>
        <w:t> </w:t>
      </w:r>
      <w:r>
        <w:rPr/>
        <w:t>Since</w:t>
      </w:r>
      <w:r>
        <w:rPr>
          <w:spacing w:val="-3"/>
        </w:rPr>
        <w:t> </w:t>
      </w:r>
      <w:r>
        <w:rPr/>
        <w:t>OMB</w:t>
      </w:r>
      <w:r>
        <w:rPr>
          <w:spacing w:val="-3"/>
        </w:rPr>
        <w:t> </w:t>
      </w:r>
      <w:r>
        <w:rPr/>
        <w:t>Circular</w:t>
      </w:r>
      <w:r>
        <w:rPr>
          <w:spacing w:val="-4"/>
        </w:rPr>
        <w:t> </w:t>
      </w:r>
      <w:r>
        <w:rPr/>
        <w:t>A-21</w:t>
      </w:r>
      <w:r>
        <w:rPr>
          <w:spacing w:val="-3"/>
        </w:rPr>
        <w:t> </w:t>
      </w:r>
      <w:r>
        <w:rPr/>
        <w:t>regards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supplies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items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normally be treated as indirect expenses it is necessary that two criteria be met for an item to qualify as a research supply:</w:t>
      </w:r>
    </w:p>
    <w:p>
      <w:pPr>
        <w:pStyle w:val="BodyText"/>
        <w:spacing w:before="64"/>
      </w:pP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97" w:lineRule="auto" w:before="0" w:after="0"/>
        <w:ind w:left="660" w:right="193" w:hanging="360"/>
        <w:jc w:val="left"/>
        <w:rPr>
          <w:sz w:val="21"/>
        </w:rPr>
      </w:pP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items</w:t>
      </w:r>
      <w:r>
        <w:rPr>
          <w:spacing w:val="-5"/>
          <w:sz w:val="21"/>
        </w:rPr>
        <w:t> </w:t>
      </w:r>
      <w:r>
        <w:rPr>
          <w:sz w:val="21"/>
        </w:rPr>
        <w:t>must</w:t>
      </w:r>
      <w:r>
        <w:rPr>
          <w:spacing w:val="-3"/>
          <w:sz w:val="21"/>
        </w:rPr>
        <w:t> </w:t>
      </w:r>
      <w:r>
        <w:rPr>
          <w:sz w:val="21"/>
        </w:rPr>
        <w:t>be</w:t>
      </w:r>
      <w:r>
        <w:rPr>
          <w:spacing w:val="-2"/>
          <w:sz w:val="21"/>
        </w:rPr>
        <w:t> </w:t>
      </w:r>
      <w:r>
        <w:rPr>
          <w:sz w:val="21"/>
        </w:rPr>
        <w:t>used</w:t>
      </w:r>
      <w:r>
        <w:rPr>
          <w:spacing w:val="-2"/>
          <w:sz w:val="21"/>
        </w:rPr>
        <w:t> </w:t>
      </w:r>
      <w:r>
        <w:rPr>
          <w:sz w:val="21"/>
        </w:rPr>
        <w:t>exclusively</w:t>
      </w:r>
      <w:r>
        <w:rPr>
          <w:spacing w:val="-5"/>
          <w:sz w:val="21"/>
        </w:rPr>
        <w:t> </w:t>
      </w:r>
      <w:r>
        <w:rPr>
          <w:sz w:val="21"/>
        </w:rPr>
        <w:t>for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scientific</w:t>
      </w:r>
      <w:r>
        <w:rPr>
          <w:spacing w:val="-5"/>
          <w:sz w:val="21"/>
        </w:rPr>
        <w:t> </w:t>
      </w:r>
      <w:r>
        <w:rPr>
          <w:sz w:val="21"/>
        </w:rPr>
        <w:t>or</w:t>
      </w:r>
      <w:r>
        <w:rPr>
          <w:spacing w:val="-3"/>
          <w:sz w:val="21"/>
        </w:rPr>
        <w:t> </w:t>
      </w:r>
      <w:r>
        <w:rPr>
          <w:sz w:val="21"/>
        </w:rPr>
        <w:t>programmatic</w:t>
      </w:r>
      <w:r>
        <w:rPr>
          <w:spacing w:val="-2"/>
          <w:sz w:val="21"/>
        </w:rPr>
        <w:t> </w:t>
      </w:r>
      <w:r>
        <w:rPr>
          <w:sz w:val="21"/>
        </w:rPr>
        <w:t>objectives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sponsored project within the project period, and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95" w:lineRule="auto" w:before="0" w:after="0"/>
        <w:ind w:left="660" w:right="124" w:hanging="360"/>
        <w:jc w:val="left"/>
        <w:rPr>
          <w:sz w:val="21"/>
        </w:rPr>
      </w:pP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items</w:t>
      </w:r>
      <w:r>
        <w:rPr>
          <w:spacing w:val="-5"/>
          <w:sz w:val="21"/>
        </w:rPr>
        <w:t> </w:t>
      </w:r>
      <w:r>
        <w:rPr>
          <w:sz w:val="21"/>
        </w:rPr>
        <w:t>must</w:t>
      </w:r>
      <w:r>
        <w:rPr>
          <w:spacing w:val="-3"/>
          <w:sz w:val="21"/>
        </w:rPr>
        <w:t> </w:t>
      </w:r>
      <w:r>
        <w:rPr>
          <w:sz w:val="21"/>
        </w:rPr>
        <w:t>be</w:t>
      </w:r>
      <w:r>
        <w:rPr>
          <w:spacing w:val="-2"/>
          <w:sz w:val="21"/>
        </w:rPr>
        <w:t> </w:t>
      </w:r>
      <w:r>
        <w:rPr>
          <w:sz w:val="21"/>
        </w:rPr>
        <w:t>charged</w:t>
      </w:r>
      <w:r>
        <w:rPr>
          <w:spacing w:val="-2"/>
          <w:sz w:val="21"/>
        </w:rPr>
        <w:t> </w:t>
      </w:r>
      <w:r>
        <w:rPr>
          <w:sz w:val="21"/>
        </w:rPr>
        <w:t>to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project</w:t>
      </w:r>
      <w:r>
        <w:rPr>
          <w:spacing w:val="-3"/>
          <w:sz w:val="21"/>
        </w:rPr>
        <w:t> </w:t>
      </w:r>
      <w:r>
        <w:rPr>
          <w:sz w:val="21"/>
        </w:rPr>
        <w:t>that</w:t>
      </w:r>
      <w:r>
        <w:rPr>
          <w:spacing w:val="-3"/>
          <w:sz w:val="21"/>
        </w:rPr>
        <w:t> </w:t>
      </w:r>
      <w:r>
        <w:rPr>
          <w:sz w:val="21"/>
        </w:rPr>
        <w:t>consumes</w:t>
      </w:r>
      <w:r>
        <w:rPr>
          <w:spacing w:val="-2"/>
          <w:sz w:val="21"/>
        </w:rPr>
        <w:t> </w:t>
      </w:r>
      <w:r>
        <w:rPr>
          <w:sz w:val="21"/>
        </w:rPr>
        <w:t>them</w:t>
      </w:r>
      <w:r>
        <w:rPr>
          <w:spacing w:val="-1"/>
          <w:sz w:val="21"/>
        </w:rPr>
        <w:t> </w:t>
      </w:r>
      <w:r>
        <w:rPr>
          <w:sz w:val="21"/>
        </w:rPr>
        <w:t>and</w:t>
      </w:r>
      <w:r>
        <w:rPr>
          <w:spacing w:val="-2"/>
          <w:sz w:val="21"/>
        </w:rPr>
        <w:t> </w:t>
      </w:r>
      <w:r>
        <w:rPr>
          <w:sz w:val="21"/>
        </w:rPr>
        <w:t>not</w:t>
      </w:r>
      <w:r>
        <w:rPr>
          <w:spacing w:val="-3"/>
          <w:sz w:val="21"/>
        </w:rPr>
        <w:t> </w:t>
      </w:r>
      <w:r>
        <w:rPr>
          <w:sz w:val="21"/>
        </w:rPr>
        <w:t>dispersed</w:t>
      </w:r>
      <w:r>
        <w:rPr>
          <w:spacing w:val="-2"/>
          <w:sz w:val="21"/>
        </w:rPr>
        <w:t> </w:t>
      </w:r>
      <w:r>
        <w:rPr>
          <w:sz w:val="21"/>
        </w:rPr>
        <w:t>among</w:t>
      </w:r>
      <w:r>
        <w:rPr>
          <w:spacing w:val="-2"/>
          <w:sz w:val="21"/>
        </w:rPr>
        <w:t> </w:t>
      </w:r>
      <w:r>
        <w:rPr>
          <w:sz w:val="21"/>
        </w:rPr>
        <w:t>several projects or used for departmental administrative purposes.</w:t>
      </w:r>
    </w:p>
    <w:p>
      <w:pPr>
        <w:pStyle w:val="BodyText"/>
        <w:spacing w:before="34"/>
      </w:pPr>
    </w:p>
    <w:p>
      <w:pPr>
        <w:spacing w:line="290" w:lineRule="auto" w:before="0"/>
        <w:ind w:left="360" w:right="0" w:firstLine="0"/>
        <w:jc w:val="left"/>
        <w:rPr>
          <w:sz w:val="21"/>
        </w:rPr>
      </w:pPr>
      <w:r>
        <w:rPr>
          <w:sz w:val="21"/>
        </w:rPr>
        <w:t>There is a notation on the RF Purchase Requisition (just below the Authorized Signatures area) that states,</w:t>
      </w:r>
      <w:r>
        <w:rPr>
          <w:spacing w:val="-4"/>
          <w:sz w:val="21"/>
        </w:rPr>
        <w:t> </w:t>
      </w:r>
      <w:r>
        <w:rPr>
          <w:sz w:val="21"/>
        </w:rPr>
        <w:t>"</w:t>
      </w:r>
      <w:r>
        <w:rPr>
          <w:b/>
          <w:sz w:val="21"/>
        </w:rPr>
        <w:t>Note: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Signature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also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certifies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scientific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and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programmatic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use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for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project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charged, Office Supplies Certification.</w:t>
      </w:r>
      <w:r>
        <w:rPr>
          <w:sz w:val="21"/>
        </w:rPr>
        <w:t>" This certification should only be signed when the conditions described in the bullets above pertain to the purchase being made.</w:t>
      </w:r>
    </w:p>
    <w:p>
      <w:pPr>
        <w:pStyle w:val="BodyText"/>
        <w:spacing w:before="61"/>
      </w:pPr>
    </w:p>
    <w:p>
      <w:pPr>
        <w:spacing w:line="292" w:lineRule="auto" w:before="0"/>
        <w:ind w:left="360" w:right="0" w:firstLine="0"/>
        <w:jc w:val="left"/>
        <w:rPr>
          <w:b/>
          <w:sz w:val="21"/>
        </w:rPr>
      </w:pPr>
      <w:r>
        <w:rPr>
          <w:sz w:val="21"/>
        </w:rPr>
        <w:t>Any</w:t>
      </w:r>
      <w:r>
        <w:rPr>
          <w:spacing w:val="-5"/>
          <w:sz w:val="21"/>
        </w:rPr>
        <w:t> </w:t>
      </w:r>
      <w:r>
        <w:rPr>
          <w:sz w:val="21"/>
        </w:rPr>
        <w:t>questions</w:t>
      </w:r>
      <w:r>
        <w:rPr>
          <w:spacing w:val="-2"/>
          <w:sz w:val="21"/>
        </w:rPr>
        <w:t> </w:t>
      </w:r>
      <w:r>
        <w:rPr>
          <w:sz w:val="21"/>
        </w:rPr>
        <w:t>with</w:t>
      </w:r>
      <w:r>
        <w:rPr>
          <w:spacing w:val="-2"/>
          <w:sz w:val="21"/>
        </w:rPr>
        <w:t> </w:t>
      </w:r>
      <w:r>
        <w:rPr>
          <w:sz w:val="21"/>
        </w:rPr>
        <w:t>regard</w:t>
      </w:r>
      <w:r>
        <w:rPr>
          <w:spacing w:val="-5"/>
          <w:sz w:val="21"/>
        </w:rPr>
        <w:t> </w:t>
      </w:r>
      <w:r>
        <w:rPr>
          <w:sz w:val="21"/>
        </w:rPr>
        <w:t>to</w:t>
      </w:r>
      <w:r>
        <w:rPr>
          <w:spacing w:val="-2"/>
          <w:sz w:val="21"/>
        </w:rPr>
        <w:t> </w:t>
      </w:r>
      <w:r>
        <w:rPr>
          <w:sz w:val="21"/>
        </w:rPr>
        <w:t>this</w:t>
      </w:r>
      <w:r>
        <w:rPr>
          <w:spacing w:val="-2"/>
          <w:sz w:val="21"/>
        </w:rPr>
        <w:t> </w:t>
      </w:r>
      <w:r>
        <w:rPr>
          <w:sz w:val="21"/>
        </w:rPr>
        <w:t>matter</w:t>
      </w:r>
      <w:r>
        <w:rPr>
          <w:spacing w:val="-3"/>
          <w:sz w:val="21"/>
        </w:rPr>
        <w:t> </w:t>
      </w:r>
      <w:r>
        <w:rPr>
          <w:sz w:val="21"/>
        </w:rPr>
        <w:t>should</w:t>
      </w:r>
      <w:r>
        <w:rPr>
          <w:spacing w:val="-2"/>
          <w:sz w:val="21"/>
        </w:rPr>
        <w:t> </w:t>
      </w:r>
      <w:r>
        <w:rPr>
          <w:sz w:val="21"/>
        </w:rPr>
        <w:t>be</w:t>
      </w:r>
      <w:r>
        <w:rPr>
          <w:spacing w:val="-2"/>
          <w:sz w:val="21"/>
        </w:rPr>
        <w:t> </w:t>
      </w:r>
      <w:r>
        <w:rPr>
          <w:sz w:val="21"/>
        </w:rPr>
        <w:t>directed</w:t>
      </w:r>
      <w:r>
        <w:rPr>
          <w:spacing w:val="-2"/>
          <w:sz w:val="21"/>
        </w:rPr>
        <w:t> </w:t>
      </w:r>
      <w:r>
        <w:rPr>
          <w:sz w:val="21"/>
        </w:rPr>
        <w:t>to</w:t>
      </w:r>
      <w:r>
        <w:rPr>
          <w:spacing w:val="-1"/>
          <w:sz w:val="21"/>
        </w:rPr>
        <w:t> </w:t>
      </w:r>
      <w:hyperlink r:id="rId5">
        <w:r>
          <w:rPr>
            <w:b/>
            <w:color w:val="006D96"/>
            <w:sz w:val="21"/>
          </w:rPr>
          <w:t>Stephanie Ammann</w:t>
        </w:r>
      </w:hyperlink>
      <w:r>
        <w:rPr>
          <w:sz w:val="21"/>
        </w:rPr>
        <w:t>,</w:t>
      </w:r>
      <w:r>
        <w:rPr>
          <w:spacing w:val="-3"/>
          <w:sz w:val="21"/>
        </w:rPr>
        <w:t> </w:t>
      </w:r>
      <w:r>
        <w:rPr>
          <w:sz w:val="21"/>
        </w:rPr>
        <w:t>Manager</w:t>
      </w:r>
      <w:r>
        <w:rPr>
          <w:spacing w:val="-3"/>
          <w:sz w:val="21"/>
        </w:rPr>
        <w:t> </w:t>
      </w:r>
      <w:r>
        <w:rPr>
          <w:sz w:val="21"/>
        </w:rPr>
        <w:t>of Sponsored Project Expenditures (2-9071) in the </w:t>
      </w:r>
      <w:hyperlink r:id="rId6">
        <w:r>
          <w:rPr>
            <w:b/>
            <w:color w:val="316891"/>
            <w:sz w:val="21"/>
          </w:rPr>
          <w:t>Office of Grants Management.</w:t>
        </w:r>
      </w:hyperlink>
    </w:p>
    <w:sectPr>
      <w:type w:val="continuous"/>
      <w:pgSz w:w="12240" w:h="15840"/>
      <w:pgMar w:top="138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6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36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60" w:right="124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tephanie.amman@stonybrook.edu" TargetMode="External"/><Relationship Id="rId6" Type="http://schemas.openxmlformats.org/officeDocument/2006/relationships/hyperlink" Target="http://research.dev.sinc.stonybrook.edu/whom-contact-0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D Grodzka</dc:creator>
  <dcterms:created xsi:type="dcterms:W3CDTF">2026-03-12T13:59:02Z</dcterms:created>
  <dcterms:modified xsi:type="dcterms:W3CDTF">2026-03-12T13:59:02Z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2013</vt:lpwstr>
  </property>
</Properties>
</file>