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60"/>
        <w:ind w:left="0" w:right="582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Fall</w:t>
      </w:r>
      <w:r>
        <w:rPr>
          <w:spacing w:val="-4"/>
          <w:sz w:val="24"/>
        </w:rPr>
        <w:t> </w:t>
      </w:r>
      <w:r>
        <w:rPr>
          <w:sz w:val="24"/>
        </w:rPr>
        <w:t>2020</w:t>
      </w:r>
      <w:r>
        <w:rPr>
          <w:spacing w:val="-4"/>
          <w:sz w:val="24"/>
        </w:rPr>
        <w:t> </w:t>
      </w:r>
      <w:r>
        <w:rPr>
          <w:sz w:val="24"/>
        </w:rPr>
        <w:t>undergraduate</w:t>
      </w:r>
      <w:r>
        <w:rPr>
          <w:spacing w:val="-4"/>
          <w:sz w:val="24"/>
        </w:rPr>
        <w:t> </w:t>
      </w:r>
      <w:r>
        <w:rPr>
          <w:sz w:val="24"/>
        </w:rPr>
        <w:t>bulletin</w:t>
      </w:r>
      <w:r>
        <w:rPr>
          <w:spacing w:val="-5"/>
          <w:sz w:val="24"/>
        </w:rPr>
        <w:t> </w:t>
      </w:r>
      <w:r>
        <w:rPr>
          <w:sz w:val="24"/>
        </w:rPr>
        <w:t>reflects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revised</w:t>
      </w:r>
      <w:r>
        <w:rPr>
          <w:spacing w:val="-4"/>
          <w:sz w:val="24"/>
        </w:rPr>
        <w:t> </w:t>
      </w:r>
      <w:r>
        <w:rPr>
          <w:sz w:val="24"/>
        </w:rPr>
        <w:t>Computer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(CE)</w:t>
      </w:r>
      <w:r>
        <w:rPr>
          <w:spacing w:val="-5"/>
          <w:sz w:val="24"/>
        </w:rPr>
        <w:t> </w:t>
      </w:r>
      <w:r>
        <w:rPr>
          <w:sz w:val="24"/>
        </w:rPr>
        <w:t>and Electrical Engineering (EE) programs. These changes </w:t>
      </w:r>
      <w:r>
        <w:rPr>
          <w:b/>
          <w:sz w:val="24"/>
        </w:rPr>
        <w:t>apply only to freshman students admitted to CE or EE in Fall 2020 or later.</w:t>
      </w:r>
    </w:p>
    <w:p>
      <w:pPr>
        <w:pStyle w:val="BodyText"/>
        <w:spacing w:before="8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</w:pPr>
      <w:r>
        <w:rPr/>
        <w:t>Which</w:t>
      </w:r>
      <w:r>
        <w:rPr>
          <w:spacing w:val="-1"/>
        </w:rPr>
        <w:t> </w:t>
      </w:r>
      <w:r>
        <w:rPr/>
        <w:t>curriculum should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follow?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0" w:after="0"/>
        <w:ind w:left="360" w:right="0" w:hanging="360"/>
        <w:jc w:val="left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admitted prior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Fall </w:t>
      </w:r>
      <w:r>
        <w:rPr>
          <w:b/>
          <w:spacing w:val="-4"/>
          <w:sz w:val="24"/>
        </w:rPr>
        <w:t>2020:</w: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259" w:lineRule="auto"/>
        <w:ind w:left="360" w:right="582"/>
      </w:pPr>
      <w:r>
        <w:rPr/>
        <w:t>Students continue to follow the same requirements in effect when first admitted to either</w:t>
      </w:r>
      <w:r>
        <w:rPr>
          <w:spacing w:val="-3"/>
        </w:rPr>
        <w:t> </w:t>
      </w:r>
      <w:r>
        <w:rPr/>
        <w:t>major.</w:t>
      </w:r>
      <w:r>
        <w:rPr>
          <w:spacing w:val="40"/>
        </w:rPr>
        <w:t> </w:t>
      </w: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curriculum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login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Degree</w:t>
      </w:r>
    </w:p>
    <w:p>
      <w:pPr>
        <w:pStyle w:val="BodyText"/>
        <w:spacing w:line="259" w:lineRule="auto"/>
        <w:ind w:left="360" w:right="582"/>
      </w:pPr>
      <w:r>
        <w:rPr/>
        <w:t>Works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check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section</w:t>
      </w:r>
      <w:r>
        <w:rPr>
          <w:spacing w:val="40"/>
        </w:rPr>
        <w:t> </w:t>
      </w:r>
      <w:r>
        <w:rPr/>
        <w:t>labeled: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in</w:t>
      </w:r>
      <w:r>
        <w:rPr>
          <w:spacing w:val="68"/>
        </w:rPr>
        <w:t> </w:t>
      </w:r>
      <w:r>
        <w:rPr/>
        <w:t>Electrical</w:t>
      </w:r>
      <w:r>
        <w:rPr>
          <w:spacing w:val="40"/>
        </w:rPr>
        <w:t> </w:t>
      </w:r>
      <w:r>
        <w:rPr/>
        <w:t>Engineering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Major</w:t>
      </w:r>
      <w:r>
        <w:rPr>
          <w:spacing w:val="65"/>
        </w:rPr>
        <w:t> </w:t>
      </w:r>
      <w:r>
        <w:rPr/>
        <w:t>in</w:t>
      </w:r>
      <w:r>
        <w:rPr>
          <w:spacing w:val="80"/>
        </w:rPr>
        <w:t> </w:t>
      </w:r>
      <w:r>
        <w:rPr/>
        <w:t>Computer Engineering Requirement Term as shown below:</w:t>
      </w: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3880"/>
      </w:tblGrid>
      <w:tr>
        <w:trPr>
          <w:trHeight w:val="332" w:hRule="atLeast"/>
        </w:trPr>
        <w:tc>
          <w:tcPr>
            <w:tcW w:w="3937" w:type="dxa"/>
            <w:shd w:val="clear" w:color="auto" w:fill="545454"/>
          </w:tcPr>
          <w:p>
            <w:pPr>
              <w:pStyle w:val="TableParagraph"/>
              <w:spacing w:before="32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Major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Electrical </w:t>
            </w:r>
            <w:r>
              <w:rPr>
                <w:b/>
                <w:color w:val="FFFFFF"/>
                <w:spacing w:val="-2"/>
                <w:sz w:val="24"/>
              </w:rPr>
              <w:t>Engineering</w:t>
            </w:r>
          </w:p>
        </w:tc>
        <w:tc>
          <w:tcPr>
            <w:tcW w:w="3880" w:type="dxa"/>
            <w:tcBorders>
              <w:bottom w:val="single" w:sz="4" w:space="0" w:color="000000"/>
            </w:tcBorders>
            <w:shd w:val="clear" w:color="auto" w:fill="545454"/>
          </w:tcPr>
          <w:p>
            <w:pPr>
              <w:pStyle w:val="TableParagraph"/>
              <w:spacing w:before="23"/>
              <w:ind w:left="544"/>
              <w:jc w:val="lef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Requirement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Term:</w:t>
            </w:r>
            <w:r>
              <w:rPr>
                <w:b/>
                <w:color w:val="FFFFFF"/>
                <w:spacing w:val="68"/>
                <w:sz w:val="24"/>
              </w:rPr>
              <w:t> </w:t>
            </w:r>
            <w:r>
              <w:rPr>
                <w:color w:val="FFFFFF"/>
                <w:sz w:val="24"/>
              </w:rPr>
              <w:t>Fall </w:t>
            </w:r>
            <w:r>
              <w:rPr>
                <w:color w:val="FFFFFF"/>
                <w:spacing w:val="-4"/>
                <w:sz w:val="24"/>
              </w:rPr>
              <w:t>2018</w:t>
            </w:r>
          </w:p>
        </w:tc>
      </w:tr>
    </w:tbl>
    <w:p>
      <w:pPr>
        <w:pStyle w:val="BodyText"/>
        <w:spacing w:before="26"/>
      </w:pPr>
    </w:p>
    <w:p>
      <w:pPr>
        <w:pStyle w:val="BodyText"/>
        <w:spacing w:line="259" w:lineRule="auto"/>
        <w:ind w:left="360" w:right="582"/>
      </w:pPr>
      <w:r>
        <w:rPr/>
        <w:t>Electrical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track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default</w:t>
      </w:r>
      <w:r>
        <w:rPr>
          <w:spacing w:val="-5"/>
        </w:rPr>
        <w:t> </w:t>
      </w:r>
      <w:r>
        <w:rPr/>
        <w:t>but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of two specializations: Microelectronics or Telecommunications</w:t>
      </w:r>
    </w:p>
    <w:p>
      <w:pPr>
        <w:pStyle w:val="BodyText"/>
        <w:spacing w:before="22"/>
      </w:pPr>
    </w:p>
    <w:p>
      <w:pPr>
        <w:pStyle w:val="Heading1"/>
        <w:numPr>
          <w:ilvl w:val="1"/>
          <w:numId w:val="1"/>
        </w:numPr>
        <w:tabs>
          <w:tab w:pos="360" w:val="left" w:leader="none"/>
        </w:tabs>
        <w:spacing w:line="240" w:lineRule="auto" w:before="0" w:after="0"/>
        <w:ind w:left="360" w:right="0" w:hanging="360"/>
        <w:jc w:val="left"/>
      </w:pPr>
      <w:r>
        <w:rPr/>
        <w:t>Students</w:t>
      </w:r>
      <w:r>
        <w:rPr>
          <w:spacing w:val="-1"/>
        </w:rPr>
        <w:t> </w:t>
      </w:r>
      <w:r>
        <w:rPr/>
        <w:t>currently pursuing entry</w:t>
      </w:r>
      <w:r>
        <w:rPr>
          <w:spacing w:val="-1"/>
        </w:rPr>
        <w:t> </w:t>
      </w:r>
      <w:r>
        <w:rPr/>
        <w:t>to CE or EE </w:t>
      </w:r>
      <w:r>
        <w:rPr>
          <w:spacing w:val="-2"/>
        </w:rPr>
        <w:t>majors:</w: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259" w:lineRule="auto"/>
        <w:ind w:left="360" w:right="293"/>
      </w:pPr>
      <w:r>
        <w:rPr/>
        <w:t>Current</w:t>
      </w:r>
      <w:r>
        <w:rPr>
          <w:spacing w:val="-3"/>
        </w:rPr>
        <w:t> </w:t>
      </w:r>
      <w:r>
        <w:rPr/>
        <w:t>Stony</w:t>
      </w:r>
      <w:r>
        <w:rPr>
          <w:spacing w:val="-3"/>
        </w:rPr>
        <w:t> </w:t>
      </w:r>
      <w:r>
        <w:rPr/>
        <w:t>Brook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pursuing</w:t>
      </w:r>
      <w:r>
        <w:rPr>
          <w:spacing w:val="-3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EE</w:t>
      </w:r>
      <w:r>
        <w:rPr>
          <w:spacing w:val="-3"/>
        </w:rPr>
        <w:t> </w:t>
      </w:r>
      <w:r>
        <w:rPr/>
        <w:t>majors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follow the Fall 2019 curriculum if admitted by Fall 2020.</w:t>
      </w:r>
    </w:p>
    <w:p>
      <w:pPr>
        <w:pStyle w:val="BodyText"/>
        <w:spacing w:before="22"/>
      </w:pPr>
    </w:p>
    <w:p>
      <w:pPr>
        <w:pStyle w:val="Heading1"/>
        <w:numPr>
          <w:ilvl w:val="1"/>
          <w:numId w:val="1"/>
        </w:numPr>
        <w:tabs>
          <w:tab w:pos="360" w:val="left" w:leader="none"/>
        </w:tabs>
        <w:spacing w:line="240" w:lineRule="auto" w:before="0" w:after="0"/>
        <w:ind w:left="360" w:right="0" w:hanging="360"/>
        <w:jc w:val="left"/>
      </w:pPr>
      <w:r>
        <w:rPr/>
        <w:t>Newly</w:t>
      </w:r>
      <w:r>
        <w:rPr>
          <w:spacing w:val="-1"/>
        </w:rPr>
        <w:t> </w:t>
      </w:r>
      <w:r>
        <w:rPr/>
        <w:t>admitted freshman</w:t>
      </w:r>
      <w:r>
        <w:rPr>
          <w:spacing w:val="-1"/>
        </w:rPr>
        <w:t> </w:t>
      </w:r>
      <w:r>
        <w:rPr/>
        <w:t>students in</w:t>
      </w:r>
      <w:r>
        <w:rPr>
          <w:spacing w:val="-1"/>
        </w:rPr>
        <w:t> </w:t>
      </w:r>
      <w:r>
        <w:rPr/>
        <w:t>Fall 2020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later:</w:t>
      </w:r>
    </w:p>
    <w:p>
      <w:pPr>
        <w:pStyle w:val="BodyText"/>
        <w:spacing w:line="292" w:lineRule="auto" w:before="182"/>
        <w:ind w:left="360" w:right="802"/>
      </w:pPr>
      <w:r>
        <w:rPr/>
        <w:t>Students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Fall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Bulletin. For Computer Engineering, please check: </w:t>
      </w:r>
      <w:hyperlink r:id="rId5">
        <w:r>
          <w:rPr>
            <w:color w:val="0462C1"/>
            <w:spacing w:val="-2"/>
            <w:u w:val="single" w:color="0462C1"/>
          </w:rPr>
          <w:t>https://www.stonybrook.edu/sb/bulletin/current/academicprograms/ece/</w:t>
        </w:r>
      </w:hyperlink>
    </w:p>
    <w:p>
      <w:pPr>
        <w:pStyle w:val="BodyText"/>
        <w:spacing w:line="259" w:lineRule="auto" w:before="3"/>
        <w:ind w:left="360" w:right="582"/>
      </w:pPr>
      <w:r>
        <w:rPr/>
        <w:t>For Electrical Engineering, please check: </w:t>
      </w:r>
      <w:hyperlink r:id="rId6">
        <w:r>
          <w:rPr>
            <w:color w:val="0462C1"/>
            <w:spacing w:val="-2"/>
            <w:u w:val="single" w:color="0462C1"/>
          </w:rPr>
          <w:t>https://www.stonybrook.edu/sb/bulletin/current/academicprograms/ese/</w:t>
        </w:r>
      </w:hyperlink>
    </w:p>
    <w:p>
      <w:pPr>
        <w:pStyle w:val="BodyText"/>
        <w:spacing w:before="221"/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</w:pPr>
      <w:r>
        <w:rPr/>
        <w:t>Are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any changes</w:t>
      </w:r>
      <w:r>
        <w:rPr>
          <w:spacing w:val="-1"/>
        </w:rPr>
        <w:t> </w:t>
      </w:r>
      <w:r>
        <w:rPr/>
        <w:t>that affect current</w:t>
      </w:r>
      <w:r>
        <w:rPr>
          <w:spacing w:val="-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admitted</w:t>
      </w:r>
      <w:r>
        <w:rPr>
          <w:spacing w:val="-1"/>
        </w:rPr>
        <w:t> </w:t>
      </w:r>
      <w:r>
        <w:rPr/>
        <w:t>prior to</w:t>
      </w:r>
      <w:r>
        <w:rPr>
          <w:spacing w:val="-1"/>
        </w:rPr>
        <w:t> </w:t>
      </w:r>
      <w:r>
        <w:rPr/>
        <w:t>Fall </w:t>
      </w:r>
      <w:r>
        <w:rPr>
          <w:spacing w:val="-2"/>
        </w:rPr>
        <w:t>2020?</w:t>
      </w:r>
    </w:p>
    <w:p>
      <w:pPr>
        <w:pStyle w:val="BodyText"/>
        <w:spacing w:line="292" w:lineRule="auto" w:before="182"/>
        <w:ind w:right="424"/>
        <w:jc w:val="both"/>
      </w:pPr>
      <w:r>
        <w:rPr/>
        <w:t>Yes,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curriculum</w:t>
      </w:r>
      <w:r>
        <w:rPr>
          <w:spacing w:val="-2"/>
        </w:rPr>
        <w:t> </w:t>
      </w:r>
      <w:r>
        <w:rPr/>
        <w:t>itself.</w:t>
      </w:r>
      <w:r>
        <w:rPr>
          <w:spacing w:val="40"/>
        </w:rPr>
        <w:t> </w:t>
      </w:r>
      <w:r>
        <w:rPr/>
        <w:t>Course</w:t>
      </w:r>
      <w:r>
        <w:rPr>
          <w:spacing w:val="-2"/>
        </w:rPr>
        <w:t> </w:t>
      </w:r>
      <w:r>
        <w:rPr/>
        <w:t>numbers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credit</w:t>
      </w:r>
      <w:r>
        <w:rPr>
          <w:spacing w:val="-3"/>
        </w:rPr>
        <w:t> </w:t>
      </w:r>
      <w:r>
        <w:rPr/>
        <w:t>hours</w:t>
      </w:r>
      <w:r>
        <w:rPr>
          <w:spacing w:val="-2"/>
        </w:rPr>
        <w:t> </w:t>
      </w:r>
      <w:r>
        <w:rPr/>
        <w:t>were changed in</w:t>
      </w:r>
      <w:r>
        <w:rPr>
          <w:spacing w:val="-3"/>
        </w:rPr>
        <w:t> </w:t>
      </w:r>
      <w:r>
        <w:rPr/>
        <w:t>several</w:t>
      </w:r>
      <w:r>
        <w:rPr>
          <w:spacing w:val="-2"/>
        </w:rPr>
        <w:t> </w:t>
      </w:r>
      <w:r>
        <w:rPr/>
        <w:t>courses.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still</w:t>
      </w:r>
      <w:r>
        <w:rPr>
          <w:spacing w:val="-3"/>
        </w:rPr>
        <w:t> </w:t>
      </w:r>
      <w:r>
        <w:rPr/>
        <w:t>missing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renumbered</w:t>
      </w:r>
      <w:r>
        <w:rPr>
          <w:spacing w:val="-4"/>
        </w:rPr>
        <w:t> </w:t>
      </w:r>
      <w:r>
        <w:rPr/>
        <w:t>courses,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>
          <w:color w:val="006FC0"/>
        </w:rPr>
        <w:t>need </w:t>
      </w:r>
      <w:r>
        <w:rPr/>
        <w:t>to take the new equivalent numbered course as follows:</w:t>
      </w:r>
    </w:p>
    <w:p>
      <w:pPr>
        <w:pStyle w:val="BodyText"/>
        <w:spacing w:after="0" w:line="292" w:lineRule="auto"/>
        <w:jc w:val="both"/>
        <w:sectPr>
          <w:type w:val="continuous"/>
          <w:pgSz w:w="12240" w:h="15840"/>
          <w:pgMar w:top="1380" w:bottom="280" w:left="1800" w:right="1080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4675"/>
      </w:tblGrid>
      <w:tr>
        <w:trPr>
          <w:trHeight w:val="431" w:hRule="atLeast"/>
        </w:trPr>
        <w:tc>
          <w:tcPr>
            <w:tcW w:w="3690" w:type="dxa"/>
            <w:shd w:val="clear" w:color="auto" w:fill="ECECEC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Course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not taken </w:t>
            </w:r>
            <w:r>
              <w:rPr>
                <w:b/>
                <w:color w:val="006FC0"/>
                <w:spacing w:val="-5"/>
                <w:sz w:val="24"/>
              </w:rPr>
              <w:t>yet</w:t>
            </w:r>
          </w:p>
        </w:tc>
        <w:tc>
          <w:tcPr>
            <w:tcW w:w="4675" w:type="dxa"/>
            <w:shd w:val="clear" w:color="auto" w:fill="ECECEC"/>
          </w:tcPr>
          <w:p>
            <w:pPr>
              <w:pStyle w:val="TableParagraph"/>
              <w:spacing w:before="0"/>
              <w:ind w:right="1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Take</w:t>
            </w:r>
            <w:r>
              <w:rPr>
                <w:b/>
                <w:color w:val="006FC0"/>
                <w:spacing w:val="-1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the renumbered </w:t>
            </w:r>
            <w:r>
              <w:rPr>
                <w:b/>
                <w:color w:val="006FC0"/>
                <w:spacing w:val="-2"/>
                <w:sz w:val="24"/>
              </w:rPr>
              <w:t>Course</w:t>
            </w:r>
          </w:p>
        </w:tc>
      </w:tr>
      <w:tr>
        <w:trPr>
          <w:trHeight w:val="432" w:hRule="atLeast"/>
        </w:trPr>
        <w:tc>
          <w:tcPr>
            <w:tcW w:w="3690" w:type="dxa"/>
          </w:tcPr>
          <w:p>
            <w:pPr>
              <w:pStyle w:val="TableParagraph"/>
              <w:spacing w:before="79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4675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118</w:t>
            </w:r>
          </w:p>
        </w:tc>
      </w:tr>
      <w:tr>
        <w:trPr>
          <w:trHeight w:val="431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331</w:t>
            </w:r>
          </w:p>
        </w:tc>
      </w:tr>
      <w:tr>
        <w:trPr>
          <w:trHeight w:val="432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205</w:t>
            </w:r>
          </w:p>
        </w:tc>
      </w:tr>
      <w:tr>
        <w:trPr>
          <w:trHeight w:val="432" w:hRule="atLeast"/>
        </w:trPr>
        <w:tc>
          <w:tcPr>
            <w:tcW w:w="3690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4675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206</w:t>
            </w:r>
          </w:p>
        </w:tc>
      </w:tr>
      <w:tr>
        <w:trPr>
          <w:trHeight w:val="431" w:hRule="atLeast"/>
        </w:trPr>
        <w:tc>
          <w:tcPr>
            <w:tcW w:w="36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273</w:t>
            </w:r>
          </w:p>
        </w:tc>
      </w:tr>
      <w:tr>
        <w:trPr>
          <w:trHeight w:val="432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280</w:t>
            </w:r>
          </w:p>
        </w:tc>
      </w:tr>
    </w:tbl>
    <w:p>
      <w:pPr>
        <w:pStyle w:val="BodyText"/>
        <w:spacing w:before="205"/>
      </w:pPr>
    </w:p>
    <w:p>
      <w:pPr>
        <w:pStyle w:val="BodyText"/>
        <w:ind w:left="60"/>
      </w:pPr>
      <w:r>
        <w:rPr/>
        <w:t>The</w:t>
      </w:r>
      <w:r>
        <w:rPr>
          <w:spacing w:val="-3"/>
        </w:rPr>
        <w:t> </w:t>
      </w:r>
      <w:r>
        <w:rPr/>
        <w:t>following courses had</w:t>
      </w:r>
      <w:r>
        <w:rPr>
          <w:spacing w:val="-1"/>
        </w:rPr>
        <w:t> </w:t>
      </w:r>
      <w:r>
        <w:rPr/>
        <w:t>a change in</w:t>
      </w:r>
      <w:r>
        <w:rPr>
          <w:spacing w:val="-1"/>
        </w:rPr>
        <w:t> </w:t>
      </w:r>
      <w:r>
        <w:rPr/>
        <w:t>the number of </w:t>
      </w:r>
      <w:r>
        <w:rPr>
          <w:spacing w:val="-2"/>
        </w:rPr>
        <w:t>credits: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0"/>
        <w:gridCol w:w="4675"/>
      </w:tblGrid>
      <w:tr>
        <w:trPr>
          <w:trHeight w:val="275" w:hRule="atLeast"/>
        </w:trPr>
        <w:tc>
          <w:tcPr>
            <w:tcW w:w="3690" w:type="dxa"/>
            <w:shd w:val="clear" w:color="auto" w:fill="ECECEC"/>
          </w:tcPr>
          <w:p>
            <w:pPr>
              <w:pStyle w:val="TableParagraph"/>
              <w:spacing w:line="255" w:lineRule="exact" w:before="0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Course</w:t>
            </w:r>
          </w:p>
        </w:tc>
        <w:tc>
          <w:tcPr>
            <w:tcW w:w="4675" w:type="dxa"/>
            <w:shd w:val="clear" w:color="auto" w:fill="ECECEC"/>
          </w:tcPr>
          <w:p>
            <w:pPr>
              <w:pStyle w:val="TableParagraph"/>
              <w:spacing w:line="255" w:lineRule="exact" w:befor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Credit </w:t>
            </w:r>
            <w:r>
              <w:rPr>
                <w:b/>
                <w:color w:val="006FC0"/>
                <w:spacing w:val="-2"/>
                <w:sz w:val="24"/>
              </w:rPr>
              <w:t>Change</w:t>
            </w:r>
          </w:p>
        </w:tc>
      </w:tr>
      <w:tr>
        <w:trPr>
          <w:trHeight w:val="431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to 4 </w:t>
            </w:r>
            <w:r>
              <w:rPr>
                <w:spacing w:val="-2"/>
                <w:sz w:val="24"/>
              </w:rPr>
              <w:t>credits</w:t>
            </w:r>
          </w:p>
        </w:tc>
      </w:tr>
      <w:tr>
        <w:trPr>
          <w:trHeight w:val="432" w:hRule="atLeast"/>
        </w:trPr>
        <w:tc>
          <w:tcPr>
            <w:tcW w:w="3690" w:type="dxa"/>
          </w:tcPr>
          <w:p>
            <w:pPr>
              <w:pStyle w:val="TableParagraph"/>
              <w:spacing w:before="79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4675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3 to 4 </w:t>
            </w:r>
            <w:r>
              <w:rPr>
                <w:spacing w:val="-2"/>
                <w:sz w:val="24"/>
              </w:rPr>
              <w:t>credits</w:t>
            </w:r>
          </w:p>
        </w:tc>
      </w:tr>
      <w:tr>
        <w:trPr>
          <w:trHeight w:val="431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4675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 to 3 </w:t>
            </w:r>
            <w:r>
              <w:rPr>
                <w:spacing w:val="-2"/>
                <w:sz w:val="24"/>
              </w:rPr>
              <w:t>credits</w:t>
            </w:r>
          </w:p>
        </w:tc>
      </w:tr>
      <w:tr>
        <w:trPr>
          <w:trHeight w:val="431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to 2 </w:t>
            </w:r>
            <w:r>
              <w:rPr>
                <w:spacing w:val="-2"/>
                <w:sz w:val="24"/>
              </w:rPr>
              <w:t>credits</w:t>
            </w:r>
          </w:p>
        </w:tc>
      </w:tr>
      <w:tr>
        <w:trPr>
          <w:trHeight w:val="432" w:hRule="atLeast"/>
        </w:trPr>
        <w:tc>
          <w:tcPr>
            <w:tcW w:w="3690" w:type="dxa"/>
          </w:tcPr>
          <w:p>
            <w:pPr>
              <w:pStyle w:val="TableParagraph"/>
              <w:spacing w:before="79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4675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3 to 2 </w:t>
            </w:r>
            <w:r>
              <w:rPr>
                <w:spacing w:val="-2"/>
                <w:sz w:val="24"/>
              </w:rPr>
              <w:t>credits</w:t>
            </w:r>
          </w:p>
        </w:tc>
      </w:tr>
      <w:tr>
        <w:trPr>
          <w:trHeight w:val="431" w:hRule="atLeast"/>
        </w:trPr>
        <w:tc>
          <w:tcPr>
            <w:tcW w:w="3690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to 3 </w:t>
            </w:r>
            <w:r>
              <w:rPr>
                <w:spacing w:val="-2"/>
                <w:sz w:val="24"/>
              </w:rPr>
              <w:t>credits</w:t>
            </w:r>
          </w:p>
        </w:tc>
      </w:tr>
    </w:tbl>
    <w:sectPr>
      <w:pgSz w:w="12240" w:h="15840"/>
      <w:pgMar w:top="142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60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8"/>
      <w:ind w:left="1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tonybrook.edu/sb/bulletin/current/academicprograms/ece/" TargetMode="External"/><Relationship Id="rId6" Type="http://schemas.openxmlformats.org/officeDocument/2006/relationships/hyperlink" Target="https://www.stonybrook.edu/sb/bulletin/current/academicprograms/ese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Kamoua</dc:creator>
  <dcterms:created xsi:type="dcterms:W3CDTF">2026-03-10T15:18:05Z</dcterms:created>
  <dcterms:modified xsi:type="dcterms:W3CDTF">2026-03-10T15:18:05Z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for Office 365</vt:lpwstr>
  </property>
</Properties>
</file>